
<file path=[Content_Types].xml><?xml version="1.0" encoding="utf-8"?>
<Types xmlns="http://schemas.openxmlformats.org/package/2006/content-types"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sz w:val="28"/>
          <w:szCs w:val="28"/>
        </w:rPr>
        <w:t>Приложение №2</w:t>
      </w:r>
    </w:p>
    <w:p>
      <w:pPr>
        <w:pStyle w:val="style0"/>
        <w:jc w:val="right"/>
      </w:pPr>
      <w:r>
        <w:rPr>
          <w:sz w:val="28"/>
          <w:szCs w:val="28"/>
        </w:rPr>
        <w:t>к проекту решения окружного Совета депутатов</w:t>
      </w:r>
    </w:p>
    <w:p>
      <w:pPr>
        <w:pStyle w:val="style0"/>
        <w:jc w:val="right"/>
      </w:pPr>
      <w:r>
        <w:rPr>
          <w:sz w:val="28"/>
          <w:szCs w:val="28"/>
        </w:rPr>
        <w:t>города Калининграда</w:t>
      </w:r>
    </w:p>
    <w:p>
      <w:pPr>
        <w:pStyle w:val="style0"/>
        <w:jc w:val="right"/>
      </w:pPr>
      <w:r>
        <w:rPr>
          <w:sz w:val="28"/>
          <w:szCs w:val="28"/>
        </w:rPr>
        <w:t>от  «_____»___________2012 №________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Изменения</w:t>
      </w:r>
    </w:p>
    <w:p>
      <w:pPr>
        <w:pStyle w:val="style23"/>
        <w:jc w:val="center"/>
        <w:ind w:hanging="0" w:left="0" w:right="96"/>
        <w:spacing w:after="120" w:before="0"/>
      </w:pPr>
      <w:r>
        <w:rPr>
          <w:sz w:val="28"/>
          <w:szCs w:val="28"/>
          <w:rFonts w:ascii="Times New Roman" w:cs="Times New Roman" w:hAnsi="Times New Roman"/>
        </w:rPr>
        <w:t xml:space="preserve">в Правила землепользования и застройки городского округа  «Город Калининград», утвержденные </w:t>
      </w:r>
      <w:r>
        <w:rPr>
          <w:color w:val="000000"/>
          <w:sz w:val="28"/>
          <w:szCs w:val="28"/>
          <w:rFonts w:ascii="Times New Roman" w:cs="Times New Roman" w:hAnsi="Times New Roman"/>
        </w:rPr>
        <w:t>решением окружного Совета депутатов города Калининграда от 29.06.2009 №146</w:t>
      </w:r>
    </w:p>
    <w:p>
      <w:pPr>
        <w:pStyle w:val="style0"/>
        <w:jc w:val="both"/>
        <w:ind w:firstLine="540" w:left="0" w:right="0"/>
      </w:pPr>
      <w:r>
        <w:rPr>
          <w:color w:val="000000"/>
          <w:sz w:val="28"/>
          <w:szCs w:val="28"/>
        </w:rPr>
        <w:t>13.1. Предельные параметры земельных участков и объектов капитального строительства  в  части процента застройки земельного участка определяются в настоящей таблице: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1"/>
      </w:tblPr>
      <w:tblGrid>
        <w:gridCol w:w="6520"/>
        <w:gridCol w:w="9359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Тип застройки или вид разрешенного использования земельного участка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Процент застройки земельного участка 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в %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многоэтажные жилые дома (9 и выше этажей)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не более 40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среднеэтажные  жилые дома (5-8 этажей)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не более 60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малоэтажные жилые дома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не более 50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индивидуальные жилые дома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не более 40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садовые и дачные строения на участках, расположенных в границах садоводческих товариществ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не более 20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гостиницы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не более 70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5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торгово-развлекательные центры, спортивные сооружения, административные здания, объекты общественного питания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не более 70</w:t>
            </w:r>
          </w:p>
        </w:tc>
      </w:tr>
    </w:tbl>
    <w:p>
      <w:pPr>
        <w:pStyle w:val="style23"/>
        <w:jc w:val="both"/>
        <w:ind w:firstLine="708" w:left="0" w:right="96"/>
        <w:spacing w:after="200" w:before="120"/>
      </w:pP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Площадь подземной парковки не входит в площадь застройки, при наличии на участке заглубленного либо подземного паркинга, в случае использования кровли данного паркинга не менее, чем на 80% под благоустройство участка (спортивные, детские, хозяйственные площадки, площадки для отдыха, озеленение).</w:t>
      </w:r>
    </w:p>
    <w:p>
      <w:pPr>
        <w:pStyle w:val="style23"/>
        <w:jc w:val="both"/>
        <w:ind w:firstLine="708" w:left="0" w:right="96"/>
        <w:spacing w:after="200" w:before="120"/>
      </w:pPr>
      <w:r>
        <w:rPr>
          <w:color w:val="000000"/>
          <w:sz w:val="28"/>
          <w:szCs w:val="28"/>
          <w:rFonts w:ascii="Times New Roman" w:cs="Times New Roman" w:hAnsi="Times New Roman"/>
        </w:rPr>
        <w:t xml:space="preserve"> </w:t>
      </w:r>
      <w:r>
        <w:rPr>
          <w:color w:val="000000"/>
          <w:sz w:val="28"/>
          <w:szCs w:val="28"/>
          <w:rFonts w:ascii="Times New Roman" w:cs="Times New Roman" w:hAnsi="Times New Roman"/>
        </w:rPr>
        <w:t xml:space="preserve">Предельные параметры земельных участков и объектов капитального строительства в части процента застройки земельных участков для прочих типов застройки или видов разрешенного использования земельного участка устанавливаются заданием на проектирование. </w:t>
      </w:r>
    </w:p>
    <w:p>
      <w:pPr>
        <w:pStyle w:val="style23"/>
        <w:jc w:val="both"/>
        <w:ind w:firstLine="708" w:left="0" w:right="96"/>
        <w:spacing w:after="200" w:before="120"/>
      </w:pPr>
      <w:r>
        <w:rPr>
          <w:color w:val="000000"/>
          <w:sz w:val="28"/>
          <w:szCs w:val="28"/>
          <w:rFonts w:ascii="Times New Roman" w:cs="Times New Roman" w:hAnsi="Times New Roman"/>
        </w:rPr>
      </w:r>
    </w:p>
    <w:p>
      <w:pPr>
        <w:pStyle w:val="style23"/>
        <w:jc w:val="both"/>
        <w:ind w:firstLine="708" w:left="0" w:right="96"/>
        <w:spacing w:after="200" w:before="120"/>
      </w:pPr>
      <w:r>
        <w:rPr>
          <w:color w:val="000000"/>
          <w:sz w:val="28"/>
          <w:szCs w:val="28"/>
          <w:rFonts w:ascii="Times New Roman" w:cs="Times New Roman" w:hAnsi="Times New Roman"/>
        </w:rPr>
        <w:t>13.2. Удельный показатель земельной доли представляет собой площадь жилой территории в границах планировочной единицы, приходящейся на 1 кв.м общей площади жилых и нежилых помещений объекта.</w:t>
      </w:r>
    </w:p>
    <w:p>
      <w:pPr>
        <w:pStyle w:val="style23"/>
        <w:jc w:val="both"/>
      </w:pPr>
      <w:r>
        <w:rPr>
          <w:color w:val="000000"/>
          <w:sz w:val="28"/>
          <w:szCs w:val="28"/>
          <w:rFonts w:ascii="Times New Roman" w:cs="Times New Roman" w:hAnsi="Times New Roman"/>
        </w:rPr>
        <w:t>Если фактическая площадь земельного участка в существующей застройке меньше нормативных размеров площади, бесплатно передаваемой в общую долевую собственность домовладельцев в соответствии с действующим законодательством, и увеличение размеров земельного участка в кондоминиуме за счет смежных земельных участков не представляется возможным, то границы передаваемого земельного участка в кондоминиуме устанавливаются по фактически существующим границам.</w:t>
      </w:r>
    </w:p>
    <w:p>
      <w:pPr>
        <w:pStyle w:val="style23"/>
        <w:jc w:val="both"/>
      </w:pPr>
      <w:r>
        <w:rPr>
          <w:color w:val="000000"/>
          <w:sz w:val="28"/>
          <w:szCs w:val="28"/>
          <w:rFonts w:ascii="Times New Roman" w:cs="Times New Roman" w:hAnsi="Times New Roman"/>
        </w:rPr>
        <w:t>Сверхнормативная территория может быть передана домовладельцам или товариществу собственников жилья в собственность (за плату) или аренду только при условии, что она в соответствии с утвержденной градостроительной и землеустроительной документацией не может быть использована в качестве самостоятельного объекта.</w:t>
      </w:r>
    </w:p>
    <w:p>
      <w:pPr>
        <w:pStyle w:val="style0"/>
        <w:jc w:val="both"/>
        <w:ind w:firstLine="720" w:left="0" w:right="0"/>
      </w:pPr>
      <w:r>
        <w:rPr>
          <w:color w:val="000000"/>
          <w:sz w:val="28"/>
          <w:szCs w:val="28"/>
        </w:rPr>
        <w:t>Удельные показатели земельной доли, приходящиеся на 1 кв.м общей площади жилых и нежилых помещений для зданий разной этажности для районов застроенных территорий, определяются в настоящей таблице: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1"/>
      </w:tblPr>
      <w:tblGrid>
        <w:gridCol w:w="1979"/>
        <w:gridCol w:w="1980"/>
      </w:tblGrid>
      <w:tr>
        <w:trPr>
          <w:trHeight w:hRule="atLeast" w:val="27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restart"/>
            <w:shd w:fill="auto"/>
            <w:tcW w:type="dxa" w:w="19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Год постройки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9"/>
            <w:shd w:fill="auto"/>
            <w:tcW w:type="dxa" w:w="19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Этажность</w:t>
            </w:r>
          </w:p>
        </w:tc>
      </w:tr>
      <w:tr>
        <w:trPr>
          <w:trHeight w:hRule="atLeast" w:val="277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auto"/>
            <w:tcW w:type="dxa" w:w="19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До 1957 г.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2,84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2,00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1,57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1,34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1,23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1,19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1958-1967гг.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 w:val="en-US"/>
              </w:rPr>
              <w:t>2</w:t>
            </w: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,72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1,97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1,81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1,52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1,39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1,30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1,21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1,04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1968-1975 гг.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2,39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1,80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1,59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1,36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1,21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1,15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0,98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0,97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1976-1985 гг.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-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1,85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1,47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1,32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0,96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0,85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trHeight w:hRule="atLeast" w:val="224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9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1986-1994 гг.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2,39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1,85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1,33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1,31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1,05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0,96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0,85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0,83</w:t>
            </w:r>
          </w:p>
        </w:tc>
      </w:tr>
    </w:tbl>
    <w:p>
      <w:pPr>
        <w:pStyle w:val="style0"/>
      </w:pPr>
      <w:r>
        <w:rPr>
          <w:color w:val="000000"/>
          <w:sz w:val="28"/>
          <w:szCs w:val="28"/>
        </w:rPr>
      </w:r>
    </w:p>
    <w:p>
      <w:pPr>
        <w:pStyle w:val="style0"/>
      </w:pPr>
      <w:r>
        <w:rPr>
          <w:color w:val="000000"/>
          <w:sz w:val="28"/>
          <w:szCs w:val="28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1"/>
      </w:tblPr>
      <w:tblGrid>
        <w:gridCol w:w="2001"/>
        <w:gridCol w:w="2002"/>
      </w:tblGrid>
      <w:tr>
        <w:trPr>
          <w:trHeight w:hRule="atLeast" w:val="27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restart"/>
            <w:shd w:fill="auto"/>
            <w:tcW w:type="dxa" w:w="20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Год постройки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9"/>
            <w:shd w:fill="auto"/>
            <w:tcW w:type="dxa" w:w="200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Этажность</w:t>
            </w:r>
          </w:p>
        </w:tc>
      </w:tr>
      <w:tr>
        <w:trPr>
          <w:trHeight w:hRule="atLeast" w:val="277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auto"/>
            <w:tcW w:type="dxa" w:w="20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1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18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22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До 1957 г.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1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1958-1967 гг.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1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1968-1975 гг.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0,94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1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1976-1985 гг.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0,80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0,74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0,74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1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0,64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1986-1994 гг.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0,816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5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0,80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0,74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0,74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1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8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73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1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0,64</w:t>
            </w:r>
          </w:p>
        </w:tc>
      </w:tr>
    </w:tbl>
    <w:p>
      <w:pPr>
        <w:pStyle w:val="style0"/>
        <w:jc w:val="right"/>
        <w:ind w:firstLine="900" w:left="4320" w:right="0"/>
      </w:pPr>
      <w:r>
        <w:rPr>
          <w:color w:val="000000"/>
          <w:sz w:val="28"/>
          <w:szCs w:val="28"/>
          <w:lang w:val="en-US"/>
        </w:rPr>
      </w:r>
    </w:p>
    <w:p>
      <w:pPr>
        <w:pStyle w:val="style0"/>
        <w:jc w:val="center"/>
      </w:pPr>
      <w:r>
        <w:rPr>
          <w:color w:val="000000"/>
          <w:sz w:val="28"/>
          <w:szCs w:val="28"/>
        </w:rPr>
        <w:t>13.3. Таблица нормативного благоустройства территории</w:t>
      </w:r>
    </w:p>
    <w:p>
      <w:pPr>
        <w:pStyle w:val="style0"/>
        <w:jc w:val="center"/>
      </w:pPr>
      <w:r>
        <w:rPr>
          <w:color w:val="000000"/>
          <w:sz w:val="28"/>
          <w:szCs w:val="28"/>
        </w:rPr>
        <w:t xml:space="preserve">многоквартирного жилого дома 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3887"/>
        <w:gridCol w:w="6766"/>
        <w:gridCol w:w="9357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8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Площадки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7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Удельные размеры площадок, кв.м/чел.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Примечание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8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Для игр детей дошкольного и младшего школьного возраста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Для отдыха взрослого населения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Для занятия физкультурой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Для мусорных контейнеров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7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0,7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1,0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0,1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3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По расчёту объемов мусоронакопления</w:t>
            </w:r>
          </w:p>
        </w:tc>
      </w:tr>
    </w:tbl>
    <w:p>
      <w:pPr>
        <w:pStyle w:val="style0"/>
        <w:jc w:val="both"/>
      </w:pPr>
      <w:r>
        <w:rPr>
          <w:color w:val="000000"/>
          <w:sz w:val="28"/>
          <w:szCs w:val="28"/>
          <w:rFonts w:cs="Times New Roman" w:eastAsia="Times New Roman"/>
          <w:lang w:eastAsia="ru-RU"/>
        </w:rPr>
        <w:t>Примечание: Расстояние от площадки до жилого дома – согласно положений                  СП 42.13330.2011.</w:t>
      </w:r>
    </w:p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25"/>
    </w:pPr>
    <w:r>
      <w:rPr/>
    </w:r>
  </w:p>
</w:ftr>
</file>

<file path=word/footer2.xml><?xml version="1.0" encoding="utf-8"?>
<w:ftr xmlns:w="http://schemas.openxmlformats.org/wordprocessingml/2006/main">
  <w:p>
    <w:pPr>
      <w:pStyle w:val="style25"/>
    </w:pPr>
    <w:r>
      <w:rPr/>
    </w:r>
  </w:p>
</w:ftr>
</file>

<file path=word/header1.xml><?xml version="1.0" encoding="utf-8"?>
<w:hdr xmlns:w="http://schemas.openxmlformats.org/wordprocessingml/2006/main">
  <w:p>
    <w:pPr>
      <w:pStyle w:val="style24"/>
    </w:pPr>
    <w:r>
      <w:rPr/>
    </w:r>
  </w:p>
</w:hdr>
</file>

<file path=word/header2.xml><?xml version="1.0" encoding="utf-8"?>
<w:hdr xmlns:w="http://schemas.openxmlformats.org/wordprocessingml/2006/main">
  <w:p>
    <w:pPr>
      <w:pStyle w:val="style24"/>
      <w:jc w:val="center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4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/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Указатель"/>
    <w:basedOn w:val="style0"/>
    <w:next w:val="style22"/>
    <w:pPr>
      <w:suppressLineNumbers/>
    </w:pPr>
    <w:rPr/>
  </w:style>
  <w:style w:styleId="style23" w:type="paragraph">
    <w:name w:val="ConsPlusNormal"/>
    <w:next w:val="style23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ru-RU"/>
    </w:rPr>
  </w:style>
  <w:style w:styleId="style24" w:type="paragraph">
    <w:name w:val="Верхний колонтитул"/>
    <w:basedOn w:val="style0"/>
    <w:next w:val="style24"/>
    <w:pPr>
      <w:tabs>
        <w:tab w:leader="none" w:pos="4677" w:val="center"/>
        <w:tab w:leader="none" w:pos="9355" w:val="right"/>
      </w:tabs>
      <w:suppressLineNumbers/>
    </w:pPr>
    <w:rPr/>
  </w:style>
  <w:style w:styleId="style25" w:type="paragraph">
    <w:name w:val="Нижний колонтитул"/>
    <w:basedOn w:val="style0"/>
    <w:next w:val="style25"/>
    <w:pPr>
      <w:tabs>
        <w:tab w:leader="none" w:pos="4677" w:val="center"/>
        <w:tab w:leader="none" w:pos="9355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2012-12-11T09:14:00.00Z</dcterms:created>
  <dc:creator>g</dc:creator>
  <cp:lastModifiedBy>g</cp:lastModifiedBy>
  <cp:lastPrinted>2012-12-11T13:51:00.00Z</cp:lastPrinted>
  <dcterms:modified xsi:type="dcterms:W3CDTF">2012-12-18T07:51:00.00Z</dcterms:modified>
  <cp:revision>11</cp:revision>
</cp:coreProperties>
</file>