
<file path=[Content_Types].xml><?xml version="1.0" encoding="utf-8"?>
<Types xmlns="http://schemas.openxmlformats.org/package/2006/content-types">
  <Override PartName="/word/header2.xml" ContentType="application/vnd.openxmlformats-officedocument.wordprocessingml.header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bookmarkStart w:id="0" w:name="bmEnd"/>
      <w:bookmarkEnd w:id="0"/>
      <w:r>
        <w:rPr>
          <w:sz w:val="28"/>
          <w:szCs w:val="28"/>
        </w:rPr>
        <w:t>Приложение №1</w:t>
      </w:r>
    </w:p>
    <w:p>
      <w:pPr>
        <w:pStyle w:val="style0"/>
        <w:jc w:val="right"/>
      </w:pPr>
      <w:r>
        <w:rPr>
          <w:sz w:val="28"/>
          <w:szCs w:val="28"/>
        </w:rPr>
        <w:t>к проекту решения окружного Совета депутатов</w:t>
      </w:r>
    </w:p>
    <w:p>
      <w:pPr>
        <w:pStyle w:val="style0"/>
        <w:jc w:val="right"/>
      </w:pPr>
      <w:r>
        <w:rPr>
          <w:sz w:val="28"/>
          <w:szCs w:val="28"/>
        </w:rPr>
        <w:t>города Калининграда</w:t>
      </w:r>
    </w:p>
    <w:p>
      <w:pPr>
        <w:pStyle w:val="style0"/>
        <w:jc w:val="right"/>
      </w:pPr>
      <w:r>
        <w:rPr>
          <w:sz w:val="28"/>
          <w:szCs w:val="28"/>
        </w:rPr>
        <w:t>от  «_____»___________2012 №________</w:t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23"/>
        <w:jc w:val="center"/>
        <w:ind w:hanging="0" w:left="0" w:right="96"/>
        <w:spacing w:after="200" w:before="120"/>
      </w:pPr>
      <w:r>
        <w:rPr/>
      </w:r>
    </w:p>
    <w:p>
      <w:pPr>
        <w:pStyle w:val="style23"/>
        <w:jc w:val="center"/>
        <w:ind w:hanging="0" w:left="0" w:right="96"/>
        <w:spacing w:after="200" w:before="120"/>
      </w:pPr>
      <w:r>
        <w:rPr>
          <w:color w:val="000000"/>
          <w:sz w:val="28"/>
          <w:szCs w:val="28"/>
          <w:rFonts w:ascii="Times New Roman" w:cs="Times New Roman" w:hAnsi="Times New Roman"/>
        </w:rPr>
        <w:t>12.1. Нормы расчета потребности в автостоянках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1"/>
      </w:tblPr>
      <w:tblGrid>
        <w:gridCol w:w="4616"/>
        <w:gridCol w:w="7559"/>
        <w:gridCol w:w="9360"/>
      </w:tblGrid>
      <w:tr>
        <w:trPr>
          <w:trHeight w:hRule="atLeast" w:val="115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тип застройки, 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или вид разрешенного использования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земельного участка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расчетная единица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Число машино-мест на расчетную единицу</w:t>
            </w:r>
          </w:p>
        </w:tc>
      </w:tr>
      <w:tr>
        <w:trPr>
          <w:trHeight w:hRule="atLeast" w:val="25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Многоэтажная, среднеэтажная, малоэтажная многоквартирная жилая застройка (в одном доме не более 20-ти квартир).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- в случае количества квартир в доме менее  20, расчет выполняется на группу домов;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- в случае устройства в жилом доме встроенных паркингов количество открытых стоянок должно быть не менее 10% от расчетного количества м/мест.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Минимальное количество м/мест на 100 жителей (расчет жителей производится по средней жилищной обеспеченности -   данные Росстата).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12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объекты дошкольного, начального и среднего общего образования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работающих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5-10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объекты среднего и высшего профессионального образования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работающих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10-15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учреждения управления, кредитно-финансовые и юридические учреждения: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- областного, федерального значения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- муниципального значения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работающих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10-20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5-7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офисные помещения административных зданий, научные и проектные организации, высшие и средние специальные учебные заведения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100 работающих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10-15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театры, цирки, кинотеатры, концертные залы, музеи, выставки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зрительских мест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10-15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торговые центры, универмаги, магазины с площадью торговых залов более 200 кв.м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кв. м торговой площади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5-7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рынки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торговых мест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20-25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Рестораны и кафе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посадочных мест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10-15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trHeight w:hRule="atLeast" w:val="5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гостиницы:  - высшего разряда                                                                      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                      </w:t>
            </w: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- прочие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мест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10-15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6-8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Больницы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коек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3-5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поликлиники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посещений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2-3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промышленные предприятия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работающих в двух смежных сменах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7-10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городские парки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единовремен-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ных посетителей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5-7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пляжи и парки в зонах отдыха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единовремен-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ных посетителей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15-20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лесопарки и заповедники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единовременных посетителей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7-10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100 единовременных посетителей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10-15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береговые базы маломерного флота: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единовременных посетителей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10-15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дома и базы отдыха, санатории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отдыхающих</w:t>
            </w:r>
            <w:r>
              <w:rPr>
                <w:color w:val="000000"/>
                <w:sz w:val="20"/>
                <w:szCs w:val="20"/>
                <w:rFonts w:cs="Times New Roman" w:eastAsia="Times New Roman"/>
                <w:lang w:eastAsia="ru-RU"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и обслуживающего персонала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3-5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туристские и курортные гостиницы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отдыхающих и обслуживающего персонала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5-7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мотели и кемпинги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 номер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спортивные здания и сооружения с трибунами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посетителей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3-5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мест в залах и 100 человек персонала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7-10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вокзалы всех видов транспорта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пассажиров дальнего и местного сообщений, прибывающих в час «пик»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10-15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6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ботанические сады и зоопарки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5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 единовременных посетителей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5-7 </w:t>
            </w:r>
          </w:p>
        </w:tc>
      </w:tr>
    </w:tbl>
    <w:p>
      <w:pPr>
        <w:pStyle w:val="style0"/>
        <w:jc w:val="center"/>
        <w:spacing w:after="0" w:before="120"/>
      </w:pPr>
      <w:r>
        <w:rPr>
          <w:color w:val="000000"/>
          <w:sz w:val="28"/>
          <w:szCs w:val="28"/>
        </w:rPr>
      </w:r>
    </w:p>
    <w:p>
      <w:pPr>
        <w:pStyle w:val="style0"/>
        <w:jc w:val="center"/>
        <w:spacing w:after="0" w:before="120"/>
      </w:pPr>
      <w:r>
        <w:rPr>
          <w:color w:val="000000"/>
          <w:sz w:val="28"/>
          <w:szCs w:val="28"/>
        </w:rPr>
        <w:t>12.2. Требования, предъявляемые к организации парковочных мест.</w:t>
      </w:r>
    </w:p>
    <w:p>
      <w:pPr>
        <w:pStyle w:val="style0"/>
        <w:jc w:val="both"/>
        <w:ind w:firstLine="684" w:left="0" w:right="56"/>
      </w:pPr>
      <w:r>
        <w:rPr>
          <w:color w:val="000000"/>
          <w:sz w:val="28"/>
          <w:szCs w:val="28"/>
        </w:rPr>
        <w:t xml:space="preserve">В составе каждой отдельной парковки необходимо предусматривать не менее 10% машиномест для парковки автотранспорта маломобильных групп населения (для лечебных учреждений – по заданию на проектирование, но не менее 10%); </w:t>
      </w:r>
    </w:p>
    <w:p>
      <w:pPr>
        <w:pStyle w:val="style0"/>
        <w:jc w:val="both"/>
        <w:ind w:firstLine="684" w:left="0" w:right="56"/>
      </w:pPr>
      <w:r>
        <w:rPr>
          <w:color w:val="000000"/>
          <w:sz w:val="28"/>
          <w:szCs w:val="28"/>
        </w:rPr>
        <w:t>На территориях объектов жилого и иных назначений все парковки с количеством парковочных мест более 10 должны быть оборудованы установками для очистки поверхностных стоков.</w:t>
      </w:r>
    </w:p>
    <w:p>
      <w:pPr>
        <w:pStyle w:val="style0"/>
        <w:jc w:val="both"/>
        <w:ind w:firstLine="600" w:left="0" w:right="56"/>
      </w:pPr>
      <w:r>
        <w:rPr>
          <w:color w:val="000000"/>
          <w:sz w:val="28"/>
          <w:szCs w:val="28"/>
        </w:rPr>
        <w:t xml:space="preserve">На территории объектов многоквартирной жилой застройки указанный в таблице удельный показатель расчетной единицы (количество парковочных мест /количество жителей) определяет площадь, занимаемую непосредственно парковочными местами.    </w:t>
      </w:r>
    </w:p>
    <w:p>
      <w:pPr>
        <w:pStyle w:val="style0"/>
        <w:jc w:val="both"/>
        <w:ind w:firstLine="600" w:left="0" w:right="56"/>
      </w:pPr>
      <w:r>
        <w:rPr>
          <w:color w:val="000000"/>
          <w:sz w:val="28"/>
          <w:szCs w:val="28"/>
        </w:rPr>
        <w:t>Иные планировочные элементы парковок (разворотные площадки, разъездные площадки, помещения охраны, участки озеленения и пр.) данным удельным показателем не учитываются.</w:t>
      </w:r>
    </w:p>
    <w:p>
      <w:pPr>
        <w:pStyle w:val="style0"/>
        <w:jc w:val="both"/>
        <w:ind w:firstLine="684" w:left="0" w:right="56"/>
      </w:pPr>
      <w:r>
        <w:rPr>
          <w:color w:val="000000"/>
          <w:sz w:val="28"/>
          <w:szCs w:val="28"/>
        </w:rPr>
        <w:t>Парковки, предусмотренные для обслуживания объектов нежилого назначения, а также помещений нежилого назначения, встроенных либо пристроенных к жилым домам, должны быть оборудованы установками для очистки поверхностных стоков вне зависимости от вместимости таких парковок.</w:t>
      </w:r>
    </w:p>
    <w:p>
      <w:pPr>
        <w:pStyle w:val="style0"/>
        <w:jc w:val="both"/>
        <w:ind w:firstLine="684" w:left="0" w:right="56"/>
      </w:pPr>
      <w:r>
        <w:rPr>
          <w:color w:val="000000"/>
          <w:sz w:val="28"/>
          <w:szCs w:val="28"/>
        </w:rPr>
        <w:t>Для многофункциональных объектов потребность в автостоянках рассчитывается суммарно в зависимости от соответствующих характеристик помещений, относящихся к конкретной функции.</w:t>
      </w:r>
    </w:p>
    <w:p>
      <w:pPr>
        <w:pStyle w:val="style0"/>
        <w:jc w:val="both"/>
        <w:ind w:firstLine="684" w:left="0" w:right="56"/>
      </w:pPr>
      <w:r>
        <w:rPr>
          <w:color w:val="000000"/>
          <w:sz w:val="28"/>
          <w:szCs w:val="28"/>
        </w:rPr>
        <w:t>Все планировочные элементы наземных парковок (парковочные места, разворотные площадки, разъездные площадки, помещения охраны и пр.) размещаются:</w:t>
      </w:r>
    </w:p>
    <w:p>
      <w:pPr>
        <w:pStyle w:val="style0"/>
        <w:jc w:val="both"/>
        <w:ind w:firstLine="684" w:left="0" w:right="56"/>
      </w:pPr>
      <w:r>
        <w:rPr>
          <w:color w:val="000000"/>
          <w:sz w:val="28"/>
          <w:szCs w:val="28"/>
        </w:rPr>
        <w:t>- для вновь возводимого объекта -  в пределах границ земельного участка;</w:t>
      </w:r>
    </w:p>
    <w:p>
      <w:pPr>
        <w:pStyle w:val="style0"/>
        <w:jc w:val="both"/>
        <w:ind w:firstLine="684" w:left="0" w:right="56"/>
      </w:pPr>
      <w:r>
        <w:rPr>
          <w:color w:val="000000"/>
          <w:sz w:val="28"/>
          <w:szCs w:val="28"/>
        </w:rPr>
        <w:t>- для существующего объекта - в соответствии с проектом межевания, разработанным с учетом градостроительной ситуации в условиях сложившейся застройки.</w:t>
      </w:r>
    </w:p>
    <w:p>
      <w:pPr>
        <w:pStyle w:val="style0"/>
        <w:jc w:val="both"/>
        <w:ind w:firstLine="684" w:left="0" w:right="56"/>
      </w:pPr>
      <w:r>
        <w:rPr>
          <w:color w:val="000000"/>
          <w:sz w:val="28"/>
          <w:szCs w:val="28"/>
        </w:rPr>
        <w:t>Все планировочные элементы парковок (парковочные места, разворотные площадки, разъездные площадки, помещения охраны и пр.), предусмотренные для обслуживания садоводческих, дачных и огороднических товариществ, размещаются в пределах границ таких товариществ, при въезде на их территорию в соответствии с заданием на проектирование.</w:t>
      </w:r>
    </w:p>
    <w:p>
      <w:pPr>
        <w:pStyle w:val="style0"/>
        <w:jc w:val="both"/>
        <w:ind w:firstLine="684" w:left="0" w:right="56"/>
      </w:pPr>
      <w:r>
        <w:rPr>
          <w:color w:val="000000"/>
          <w:sz w:val="28"/>
          <w:szCs w:val="28"/>
        </w:rPr>
      </w:r>
    </w:p>
    <w:p>
      <w:pPr>
        <w:pStyle w:val="style0"/>
      </w:pPr>
      <w:r>
        <w:rPr/>
      </w:r>
    </w:p>
    <w:sectPr>
      <w:formProt w:val="off"/>
      <w:pgSz w:h="16838" w:w="11906"/>
      <w:textDirection w:val="lrTb"/>
      <w:pgNumType w:fmt="decimal"/>
      <w:type w:val="nextPage"/>
      <w:headerReference r:id="rId2" w:type="even"/>
      <w:headerReference r:id="rId3" w:type="default"/>
      <w:footerReference r:id="rId4" w:type="even"/>
      <w:footerReference r:id="rId5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25"/>
    </w:pPr>
    <w:r>
      <w:rPr/>
    </w:r>
  </w:p>
</w:ftr>
</file>

<file path=word/footer2.xml><?xml version="1.0" encoding="utf-8"?>
<w:ftr xmlns:w="http://schemas.openxmlformats.org/wordprocessingml/2006/main">
  <w:p>
    <w:pPr>
      <w:pStyle w:val="style25"/>
    </w:pPr>
    <w:r>
      <w:rPr/>
    </w:r>
  </w:p>
</w:ftr>
</file>

<file path=word/header1.xml><?xml version="1.0" encoding="utf-8"?>
<w:hdr xmlns:w="http://schemas.openxmlformats.org/wordprocessingml/2006/main">
  <w:p>
    <w:pPr>
      <w:pStyle w:val="style24"/>
    </w:pPr>
    <w:r>
      <w:rPr/>
    </w:r>
  </w:p>
</w:hdr>
</file>

<file path=word/header2.xml><?xml version="1.0" encoding="utf-8"?>
<w:hdr xmlns:w="http://schemas.openxmlformats.org/wordprocessingml/2006/main">
  <w:p>
    <w:pPr>
      <w:pStyle w:val="style24"/>
      <w:jc w:val="center"/>
    </w:pPr>
    <w:r>
      <w:fldChar w:fldCharType="begin"/>
    </w: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24"/>
    </w:pPr>
    <w:r>
      <w:rPr/>
    </w:r>
  </w:p>
</w:hd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auto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/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sz w:val="24"/>
      <w:i/>
      <w:szCs w:val="24"/>
      <w:iCs/>
    </w:rPr>
  </w:style>
  <w:style w:styleId="style22" w:type="paragraph">
    <w:name w:val="Указатель"/>
    <w:basedOn w:val="style0"/>
    <w:next w:val="style22"/>
    <w:pPr>
      <w:suppressLineNumbers/>
    </w:pPr>
    <w:rPr/>
  </w:style>
  <w:style w:styleId="style23" w:type="paragraph">
    <w:name w:val="ConsPlusNormal"/>
    <w:next w:val="style23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ru-RU"/>
    </w:rPr>
  </w:style>
  <w:style w:styleId="style24" w:type="paragraph">
    <w:name w:val="Верхний колонтитул"/>
    <w:basedOn w:val="style0"/>
    <w:next w:val="style24"/>
    <w:pPr>
      <w:tabs>
        <w:tab w:leader="none" w:pos="4677" w:val="center"/>
        <w:tab w:leader="none" w:pos="9355" w:val="right"/>
      </w:tabs>
      <w:suppressLineNumbers/>
    </w:pPr>
    <w:rPr/>
  </w:style>
  <w:style w:styleId="style25" w:type="paragraph">
    <w:name w:val="Нижний колонтитул"/>
    <w:basedOn w:val="style0"/>
    <w:next w:val="style25"/>
    <w:pPr>
      <w:tabs>
        <w:tab w:leader="none" w:pos="4677" w:val="center"/>
        <w:tab w:leader="none" w:pos="9355" w:val="right"/>
      </w:tabs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2012-12-11T09:12:00.00Z</dcterms:created>
  <dc:creator>g</dc:creator>
  <cp:lastModifiedBy>g</cp:lastModifiedBy>
  <dcterms:modified xsi:type="dcterms:W3CDTF">2012-12-11T09:48:00.00Z</dcterms:modified>
  <cp:revision>6</cp:revision>
</cp:coreProperties>
</file>